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13 113 vom 20. Juni 2014</w:t>
      </w:r>
    </w:p>
    <w:p>
      <w:r>
        <w:t>VS Kantonsgericht, 2014-06-20, DE</w:t>
      </w:r>
    </w:p>
    <w:p>
      <w:r>
        <w:rPr>
          <w:b/>
        </w:rPr>
        <w:t xml:space="preserve">Quelle: </w:t>
      </w:r>
      <w:r>
        <w:t>https://mcp.opencaselaw.ch/entscheid/vs_gerichte_C3 13 113</w:t>
      </w:r>
    </w:p>
    <w:p>
      <w:r>
        <w:t>FR: VS_GERICHTE C3 13 113 du 20 juin 2014</w:t>
      </w:r>
    </w:p>
    <w:p>
      <w:r>
        <w:t>IT: VS_GERICHTE C3 13 113 del 20 giugno 2014</w:t>
      </w:r>
    </w:p>
    <w:p>
      <w:pPr>
        <w:pStyle w:val="Heading2"/>
      </w:pPr>
      <w:r>
        <w:t>Regeste</w:t>
      </w:r>
    </w:p>
    <w:p>
      <w:r>
        <w:t>Mit Urteil vom 20. Juni 2014 (5A_154/2014) trat das Bundesgericht auf eine gegen vorliegenden Entscheid gerichtete Beschwerde in Zivilsachen nicht ein. C3 13 113 URTEIL VOM 29. NOVEMBER 2013 Kantonsgericht Wallis Zivilkammer Hermann Murmann, Einzelrichter; Dr. Adrian Walpen, Gerichtsschreiber in Sachen T_________, Beschwerdeführer, vertreten durch Rechtsanwalt A_________ gegen U_________, Beschwerdegegnerin, vertreten durch Rechtsanwalt B_________ V_________, Beschwerdegegnerin, vertreten durch Rechtsanwalt C_________ W_________, Beschwerdegegnerin, X_________</w:t>
      </w:r>
    </w:p>
    <w:p>
      <w:pPr>
        <w:pStyle w:val="Heading2"/>
      </w:pPr>
      <w:r>
        <w:t>Erwägungen</w:t>
      </w:r>
    </w:p>
    <w:p>
      <w:r>
        <w:rPr>
          <w:b/>
        </w:rPr>
        <w:t>E. 1.1</w:t>
      </w:r>
    </w:p>
    <w:p>
      <w:r>
        <w:t>Gemäss Art. 319 ZPO unterliegen nicht berufungsfähige erstinstanzliche Endent- scheide, Zwischenentscheide und Entscheide über vorsorgliche Massnahmen der Be- schwerde im Sinne von Art. 319 ff. ZPO. Andere erstinstanzliche Entscheide und pro- zessleitende Verfügungen sind lediglich in den vom Gesetz bestimmten Fällen oder wenn durch sie ein nicht leicht wieder gutzumachender Nachteil droht sowie bei Rechtsverzögerung anfechtbar. Beim vorliegend angefochtenen Entscheid hiess die Bezirksrichterin den prozessualen Antrag, Rechtsanwalt A_________ als Parteivertreter des Klägers im Zivilverfahren auszuschliessen, gut. Bei diesem Entscheid handelt es sich nicht um einen Endent- scheid, da er das Verfahren vor der entsprechenden Instanz nicht abschloss. Sodann stellt er nach der Konzeption der ZPO auch keinen Zwischenentscheid dar, da durch eine abweichende kantonsgerichtliche Beurteilung kein Endentscheid herbeigeführt werden kann (vgl. Art. 237 ZPO; zum Zwischenentscheid vgl. statt aller Kriech, in: Brunner/Gasser/Schwander [Hrsg.], Schweizerische Zivilprozessordnung, Kommentar, Zürich/St. Gallen 2011, N. 5 ff. zu Art. 237 ZPO mit Hinweisen). Es liegt vielmehr eine prozessleitende Verfügung vor, mit welcher das Bezirksgericht den Verfahrensablauf ordnen wollte (BGE 138 II 162 E. 2.5.1 und 2.5.2).</w:t>
      </w:r>
    </w:p>
    <w:p>
      <w:r>
        <w:t>- 4 -</w:t>
      </w:r>
    </w:p>
    <w:p>
      <w:r>
        <w:t>Als prozessleitende Verfügung kann der Entscheid über die Vertretungsbefugnis, da seine Anfechtbarkeit im Gesetz nicht vorgesehen ist, nur Anfechtungsobjekt einer Be- schwerde an das Kantonsgericht bilden, wenn durch ihn dem Beschwerdeführer ein nicht leicht wieder gutzumachender Nachteil droht (Art. 319 lit. b Ziff. 2 ZPO; Brunner, in: Oberhammer [Hrsg.], Kurzkommentar, Schweizerische Zivilprozessordnung, Basel 2010, N. 12 zu Art. 319 ZPO; Jeandin, in: François Bohnet et. al. [Hrsg.], Code de pro- cédure civile commenté, Basel 2011, N. 14 zu Art. 319 ZPO). Ein Nachteil tatsächlicher oder rechtlicher Natur (Meier, Schweizerisches Zivilprozess- recht, Zürich 2010, S. 470) ist dann nicht wieder gutzumachen, wenn er sich auch mit einem späteren günstigen Endentscheid nicht oder nicht gänzlich beseitigen lässt (BGE 137 III 380 E. 1.2.1 und 2.2 mit Hinweisen), insbesondere wenn die Lage der be- troffenen Partei durch den angefochtenen Entscheid erheblich erschwert wird (Frei- burghaus/Afheldt, in: Sutter-Somm/Hasenböhler/Leuenberger [Hrsg.], Kommentar zur Schweizerischen Zivilprozessordnung, Zürich 2010, N. 14 zu Art. 319 ZPO). Der Begriff ist restriktiv auszulegen (Jeandin, a.a.O., N. 22 zu Art. 319 ZPO), da der Beschwerde- führer grundsätzlich immer die Möglichkeit hat, die streitige Verfügung zusammen mit der Hauptsache anzufechten (Brunner, a.a.O., N. 13 zu Art. 319 ZPO), so dass in die- sem Bereich die Unzulässigkeit der Beschwerde die Regel und die Zulässigkeit die Ausnahme ist (Donzallaz, La notion de "préjudice difficilement réparable" dans le CPC, in: Il Codice di diritto processuale civile svizzero, 2011, S. 191). Es obliegt dem Be- schwerdeführer, den nicht leicht wieder gutzumachenden Nachteil zu behaupten und nachzuweisen (Brunner, a.a.O., N. 12 zu Art. 319 ZPO).</w:t>
      </w:r>
    </w:p>
    <w:p>
      <w:r>
        <w:rPr>
          <w:b/>
        </w:rPr>
        <w:t>E. 1.2</w:t>
      </w:r>
    </w:p>
    <w:p>
      <w:r>
        <w:t>In casu begründet der Beschwerdeführer den nicht leicht wieder gutzumachenden Nachteil damit, dass er mitten im Verfahren einen neuen Rechtsanwalt und damit eine neue Vertrauensperson suchen müsse, verbunden mit dem Risiko, dass er diese nicht finde und auf jede Fall verbunden mit zusätzlichen finanziellen Belastungen und zeitli- chen Verzögerungen im Prozess. Während der finanzielle Verlust wieder gutzumachen sei, sei dies weder bei den zeitlichen Verzögerungen noch beim Vertrauensverlust möglich. Damit zeigt der Beschwerdeführer auf, dass, die Richtigkeit seiner Vorwürfe vorausge- setzt, mit dem Ausschluss von Rechtsanwalt A_________ als Parteivertreter ein Nach- teil droht, welcher sich nach Abschluss des erstinstanzlichen Verfahrens durch einen späteren günstigeren Endentscheid zumindest nicht mehr vollständig beheben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